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STORIA DI RAY </w:t>
      </w:r>
      <w:r>
        <w:rPr>
          <w:rFonts w:ascii="Arial" w:cs="Arial" w:eastAsia="Arial" w:hAnsi="Arial"/>
          <w:sz w:val="20"/>
          <w:szCs w:val="20"/>
          <w:color w:val="auto"/>
        </w:rPr>
        <w:t>un film di Giuseppe Di Renzo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2020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2:33.1 - colore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regia Giuseppe Di Renzo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con Ray Sugar Sandro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soggetto / sceneggiatura Giuseppe Di Renzo e Silvio Laccetti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fotografia Paride Fusoni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montaggio Aline Hervé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right="520"/>
        <w:spacing w:after="0" w:line="30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prodotto da Giuseppe Di Renzo (Michi SRLS) Lorenzo Giovenga Lorenzo Lazzarini Valentina Signorelli (Daitona SRL)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jc w:val="both"/>
        <w:ind w:left="2220" w:right="2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Abbiamo “seguito” Ray Sugar Sandro per circa quattro anni e, fin dall’inizio, abbiamo capito che la sua storia fatta di sogni, speranze, delusioni e desideri, era quella che più di tutte apriva ad un ventaglio di letture e possibilità sia narrative che estetiche.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-657860</wp:posOffset>
            </wp:positionV>
            <wp:extent cx="1257300" cy="19900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jc w:val="both"/>
        <w:ind w:left="2220" w:righ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Quello che più è risultato interessante sono state appunto la profondità e la purezza di tali sentimenti e di tali virtù: sono proprio i sogni e la spensieratezza (a tratti anarchica-infantile) di questo 51enne dal fisico scolpito ad avere pilotato la struttura della narrazione fin dall’inizio ed averci convinto a raccontare, anche se in maniera documentaristica, una fiaba.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jc w:val="both"/>
        <w:ind w:left="2200" w:right="20" w:firstLine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La scelta inerente l’asino e quindi la trasformazione di Ray, oltre a rimandare ad una lunga serie di esempi presenti in testi fiabeschi e non (più o meno famosi), è soprattutto una metafora sulle scelte di vita proprio di quest’ultimo. Nel momento della metamorfosi, infatti, quando l’animale potrebbe riacquisire la condizione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umana mangiando la rosa offertagli dalla donna Erculea questo si rifiuta, coerentemente con scelte assunte (e documentate) in precedenza e per parte della sua vita. A Ray, infatti, non interessa migliorare la propria condizione di cantante, ballerino o di qualsiasi dei tanti mestieri per i quali egli è ben predisposto; a Ray, che prima di essere qualsiasi delle tante etichette artistiche che si possano attribuirgli è soprattutto un uomo, interessa esclusivamente il poter fare quel che basta per poter legittimare il proprio essere. E l’asino, volendo volare e volando, non fa altro che legittimare l’invidiabile visione del mondo, e della vita, di Sandro Micolucci, in arte Ray Sugar Sandro.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both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La decisone, infine, di far interiorizzare la trasformazione da Nico - il fratello di Ray - è stata l’unica costante della lavorazione; in quanto soltanto chi conosce approfonditamente il carattere del nostro protagonista, e non giudica di primo acchito, può davvero percepire e raccontare la profondità dei suoi sogni e dei suoi desideri. E sarà proprio Desiderio, una figura fiabesca coltivatrice di sogni, colui che aiuterà l’asino Ray a concretizzare nel “reale” la più astratta delle volontà.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NOTE DI PRODUZIONE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jc w:val="both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La produzione di questo film, come il precedente (mediometraggio) del Di Renzo, abbraccia un vasto arco di tempo. Il primo anno è stato caratterizzato da incontri assidui, ed è stato sfruttato soprattutto per cogliere le sfumature del personaggio e le metamorfosi di queste davanti la macchina da presa.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jc w:val="both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Dopo aver visionato il materiale Di Renzo, assieme al co-sceneggiatore Silvio Laccetti, ha delineato la trama e strutturato il piano di lavorazione.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jc w:val="both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Per i successivi tre anni gli incontri sono stati meno assidui ma comunque frequenti; consci del fatto che la parte dell’asino sarebbe comunque stata girata a copione, era che la parte di Ray che doveva, e così poi è stato, prendere vita esclusivamente dalla realtà poi ri-sceneggiata in fase di montaggio.</w:t>
      </w:r>
    </w:p>
    <w:p>
      <w:pPr>
        <w:sectPr>
          <w:pgSz w:w="11900" w:h="16840" w:orient="portrait"/>
          <w:cols w:equalWidth="0" w:num="1">
            <w:col w:w="9640"/>
          </w:cols>
          <w:pgMar w:left="1140" w:top="1378" w:right="1120" w:bottom="806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NOTE DI REGIA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Esempi importanti sono stati sicuramente i lavori di Bresson (Au hasard Baltazar) e Marcello (Bella e Perduta). Nonostante non abbiano influenzato assolutamente in minima parte la componente o le scelti estetiche e di forma (oltre che di contenuto), importanti sono state le istruzioni, naturalmente trasversali, sul come dirigere/inquadrare un animale.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La chiara scissione contenutistica dalle due parti che compongono il film non ne ha, a parer nostro, influenzato la forma che si presenta omogenea (ad eccezione di un paio di carrelli) in tutto il lungometraggio.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both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Alcune scelte ritmiche inerenti la fase di montaggio sono state chiaramente influenzate dalla procedure per “gemmazione” con la quale è costruito il film; e questo, credo, influisca anche sulla fruibilità del prodotto che, a detta della piccola cerchia di spettatori a cui è stato mostrato, è piacevolmente celere.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jc w:val="both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Diverse riprese presentano “ovvie” sgrammaticature che, purtroppo o per fortuna, sono ovvia conseguenza degli imperativi che la realtà palesa in queste tipologie di produzione.</w:t>
      </w:r>
    </w:p>
    <w:sectPr>
      <w:pgSz w:w="11900" w:h="16840" w:orient="portrait"/>
      <w:cols w:equalWidth="0" w:num="1">
        <w:col w:w="9640"/>
      </w:cols>
      <w:pgMar w:left="1140" w:top="1379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2020-09-24T10:01:34Z</dcterms:created>
  <dcterms:modified xsi:type="dcterms:W3CDTF">2020-09-24T10:01:34Z</dcterms:modified>
</cp:coreProperties>
</file>